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456" w:rsidRPr="00BD0456" w:rsidRDefault="007817BD" w:rsidP="00BD0456">
      <w:pPr>
        <w:pStyle w:val="Title"/>
        <w:rPr>
          <w:b/>
        </w:rPr>
      </w:pPr>
      <w:r>
        <w:t>TLH M</w:t>
      </w:r>
      <w:r w:rsidR="00BD0456">
        <w:t>odule for Lutheran Service Builder</w:t>
      </w:r>
    </w:p>
    <w:p w:rsidR="00037469" w:rsidRDefault="00037469" w:rsidP="00BD0456">
      <w:pPr>
        <w:pStyle w:val="Heading2"/>
      </w:pPr>
      <w:r>
        <w:t>Created by Pastor Evan Scamman, 2018.</w:t>
      </w:r>
    </w:p>
    <w:p w:rsidR="00BD0456" w:rsidRDefault="00BD0456" w:rsidP="00BD0456">
      <w:pPr>
        <w:pStyle w:val="Heading2"/>
      </w:pPr>
      <w:r>
        <w:t>What is it?</w:t>
      </w:r>
    </w:p>
    <w:p w:rsidR="00BD0456" w:rsidRDefault="00AC7B72" w:rsidP="00BD0456">
      <w:r>
        <w:t>There are 312</w:t>
      </w:r>
      <w:r w:rsidR="00BD0456">
        <w:t xml:space="preserve"> hymns in The Lutheran Hymnal (TLH) that are not found in t</w:t>
      </w:r>
      <w:r>
        <w:t>he Lutheran Service Book (LSB). Of these, 282 hymns are in the public domain. This installer will add these 282</w:t>
      </w:r>
      <w:r w:rsidR="00BD0456">
        <w:t xml:space="preserve"> hymns from TLH to your existing installation of Lutheran Service Builder.</w:t>
      </w:r>
      <w:r w:rsidR="00DA41F4">
        <w:t xml:space="preserve"> Once these hymns are in Builder, you will be able to </w:t>
      </w:r>
      <w:r w:rsidR="00C81953">
        <w:t xml:space="preserve">use them </w:t>
      </w:r>
      <w:r w:rsidR="001B4EAF">
        <w:t xml:space="preserve">in </w:t>
      </w:r>
      <w:r w:rsidR="00C81953">
        <w:t xml:space="preserve">your church bulletin </w:t>
      </w:r>
      <w:r w:rsidR="00DA41F4">
        <w:t>(just as you can with any LSB hymn).</w:t>
      </w:r>
    </w:p>
    <w:p w:rsidR="00BD0456" w:rsidRDefault="00037469" w:rsidP="00BD0456">
      <w:pPr>
        <w:pStyle w:val="Heading2"/>
      </w:pPr>
      <w:r>
        <w:t>Installation Instructions</w:t>
      </w:r>
    </w:p>
    <w:p w:rsidR="00037469" w:rsidRDefault="00A8693A" w:rsidP="00F65DFC">
      <w:pPr>
        <w:rPr>
          <w:b/>
        </w:rPr>
      </w:pPr>
      <w:r>
        <w:t>If you haven’t already, extract the contents of TLH.Z</w:t>
      </w:r>
      <w:r w:rsidR="001A10C0">
        <w:t xml:space="preserve">IP to a folder on your desktop. </w:t>
      </w:r>
      <w:r w:rsidR="00F65DFC" w:rsidRPr="001872A4">
        <w:rPr>
          <w:b/>
        </w:rPr>
        <w:t xml:space="preserve">If you try to run the installer </w:t>
      </w:r>
      <w:r w:rsidR="006C5967" w:rsidRPr="001872A4">
        <w:rPr>
          <w:b/>
        </w:rPr>
        <w:t xml:space="preserve">from within the ZIP archive, it will </w:t>
      </w:r>
      <w:r w:rsidR="00F65DFC" w:rsidRPr="001872A4">
        <w:rPr>
          <w:b/>
        </w:rPr>
        <w:t>fail.</w:t>
      </w:r>
    </w:p>
    <w:p w:rsidR="003E22D5" w:rsidRDefault="003E22D5" w:rsidP="00F65DFC">
      <w:r w:rsidRPr="003E22D5">
        <w:rPr>
          <w:b/>
          <w:color w:val="FF0000"/>
        </w:rPr>
        <w:t>WARNING!!!</w:t>
      </w:r>
      <w:r>
        <w:rPr>
          <w:b/>
          <w:color w:val="FF0000"/>
        </w:rPr>
        <w:t xml:space="preserve"> </w:t>
      </w:r>
      <w:r>
        <w:rPr>
          <w:b/>
        </w:rPr>
        <w:t xml:space="preserve">Backup your data first! </w:t>
      </w:r>
      <w:r>
        <w:t xml:space="preserve">This installer will not erase your existing bulletins, but </w:t>
      </w:r>
      <w:r w:rsidR="00037469">
        <w:t xml:space="preserve">you should back them up anyway to be on the safe side. </w:t>
      </w:r>
      <w:r>
        <w:t xml:space="preserve">Open Builder and choose: “Tools | Backup Data…” (Skip this step if you have a fresh install of Builder.) Once your data is safe, </w:t>
      </w:r>
      <w:r w:rsidR="00037469">
        <w:t>then proceed with the next step</w:t>
      </w:r>
      <w:r>
        <w:t>.</w:t>
      </w:r>
    </w:p>
    <w:p w:rsidR="001B4EAF" w:rsidRPr="003E22D5" w:rsidRDefault="001B4EAF" w:rsidP="00F65DFC">
      <w:r>
        <w:t>Close Builder. (This is important to do before each of the three following steps.)</w:t>
      </w:r>
    </w:p>
    <w:p w:rsidR="00723AE7" w:rsidRPr="00F65DFC" w:rsidRDefault="007817BD" w:rsidP="00F65DFC">
      <w:pPr>
        <w:pStyle w:val="NoSpacing"/>
        <w:numPr>
          <w:ilvl w:val="0"/>
          <w:numId w:val="1"/>
        </w:numPr>
        <w:rPr>
          <w:b/>
        </w:rPr>
      </w:pPr>
      <w:r w:rsidRPr="00F65DFC">
        <w:rPr>
          <w:b/>
        </w:rPr>
        <w:t xml:space="preserve">Launch “TLH </w:t>
      </w:r>
      <w:r w:rsidR="00B25A28">
        <w:rPr>
          <w:b/>
        </w:rPr>
        <w:t xml:space="preserve">Module </w:t>
      </w:r>
      <w:r w:rsidRPr="00F65DFC">
        <w:rPr>
          <w:b/>
        </w:rPr>
        <w:t xml:space="preserve">Installer – </w:t>
      </w:r>
      <w:r w:rsidR="00B25A28">
        <w:rPr>
          <w:b/>
        </w:rPr>
        <w:t>Step</w:t>
      </w:r>
      <w:r w:rsidRPr="00F65DFC">
        <w:rPr>
          <w:b/>
        </w:rPr>
        <w:t xml:space="preserve"> </w:t>
      </w:r>
      <w:r w:rsidR="00DA41F4" w:rsidRPr="00F65DFC">
        <w:rPr>
          <w:b/>
        </w:rPr>
        <w:t>1</w:t>
      </w:r>
      <w:r w:rsidRPr="00F65DFC">
        <w:rPr>
          <w:b/>
        </w:rPr>
        <w:t>”</w:t>
      </w:r>
    </w:p>
    <w:p w:rsidR="007817BD" w:rsidRDefault="007817BD" w:rsidP="007817BD">
      <w:pPr>
        <w:pStyle w:val="ListParagraph"/>
        <w:numPr>
          <w:ilvl w:val="1"/>
          <w:numId w:val="1"/>
        </w:numPr>
      </w:pPr>
      <w:r>
        <w:t>Builder will begin importing the first half of the TLH hymns.</w:t>
      </w:r>
    </w:p>
    <w:p w:rsidR="007817BD" w:rsidRDefault="00DA41F4" w:rsidP="001B4EAF">
      <w:pPr>
        <w:pStyle w:val="ListParagraph"/>
        <w:numPr>
          <w:ilvl w:val="1"/>
          <w:numId w:val="1"/>
        </w:numPr>
      </w:pPr>
      <w:r>
        <w:t>If your computer gives you a security warning, ignore or disable it.</w:t>
      </w:r>
      <w:r w:rsidR="001B4EAF">
        <w:t xml:space="preserve"> (This is especially common on computers with Windows 10.</w:t>
      </w:r>
    </w:p>
    <w:p w:rsidR="00DA41F4" w:rsidRDefault="00DA41F4" w:rsidP="00DA41F4">
      <w:pPr>
        <w:pStyle w:val="ListParagraph"/>
        <w:numPr>
          <w:ilvl w:val="1"/>
          <w:numId w:val="1"/>
        </w:numPr>
      </w:pPr>
      <w:r>
        <w:t xml:space="preserve">If Builder seems frozen, </w:t>
      </w:r>
      <w:r w:rsidR="001B4EAF">
        <w:t>be patient. Builder is working hard to import the hymns.</w:t>
      </w:r>
    </w:p>
    <w:p w:rsidR="00DA41F4" w:rsidRDefault="00DA41F4" w:rsidP="00DA41F4">
      <w:pPr>
        <w:pStyle w:val="ListParagraph"/>
        <w:numPr>
          <w:ilvl w:val="1"/>
          <w:numId w:val="1"/>
        </w:numPr>
      </w:pPr>
      <w:r>
        <w:t xml:space="preserve">The import </w:t>
      </w:r>
      <w:r w:rsidR="00537FFD">
        <w:t>is finished once Builder begins responding again.</w:t>
      </w:r>
    </w:p>
    <w:p w:rsidR="00DA41F4" w:rsidRDefault="00DA41F4" w:rsidP="00DA41F4">
      <w:pPr>
        <w:pStyle w:val="ListParagraph"/>
        <w:numPr>
          <w:ilvl w:val="1"/>
          <w:numId w:val="1"/>
        </w:numPr>
      </w:pPr>
      <w:r>
        <w:t>Exit Builder</w:t>
      </w:r>
    </w:p>
    <w:p w:rsidR="00DA41F4" w:rsidRPr="00DA41F4" w:rsidRDefault="00DA41F4" w:rsidP="00DA41F4">
      <w:pPr>
        <w:pStyle w:val="ListParagraph"/>
        <w:numPr>
          <w:ilvl w:val="0"/>
          <w:numId w:val="1"/>
        </w:numPr>
        <w:rPr>
          <w:b/>
        </w:rPr>
      </w:pPr>
      <w:r w:rsidRPr="00DA41F4">
        <w:rPr>
          <w:b/>
        </w:rPr>
        <w:t xml:space="preserve">Launch “TLH </w:t>
      </w:r>
      <w:r w:rsidR="00B25A28">
        <w:rPr>
          <w:b/>
        </w:rPr>
        <w:t>Module Installer – Step</w:t>
      </w:r>
      <w:r w:rsidRPr="00DA41F4">
        <w:rPr>
          <w:b/>
        </w:rPr>
        <w:t xml:space="preserve"> </w:t>
      </w:r>
      <w:r>
        <w:rPr>
          <w:b/>
        </w:rPr>
        <w:t>2</w:t>
      </w:r>
      <w:r w:rsidRPr="00DA41F4">
        <w:rPr>
          <w:b/>
        </w:rPr>
        <w:t>”</w:t>
      </w:r>
    </w:p>
    <w:p w:rsidR="00DA41F4" w:rsidRDefault="00DA41F4" w:rsidP="00DA41F4">
      <w:pPr>
        <w:pStyle w:val="ListParagraph"/>
        <w:numPr>
          <w:ilvl w:val="1"/>
          <w:numId w:val="1"/>
        </w:numPr>
      </w:pPr>
      <w:r>
        <w:t>Builder will begin importing the second half of the TLH hymns.</w:t>
      </w:r>
    </w:p>
    <w:p w:rsidR="00DA41F4" w:rsidRDefault="00537FFD" w:rsidP="00DA41F4">
      <w:pPr>
        <w:pStyle w:val="ListParagraph"/>
        <w:numPr>
          <w:ilvl w:val="1"/>
          <w:numId w:val="1"/>
        </w:numPr>
      </w:pPr>
      <w:r>
        <w:t>Follow the same procedure as before.</w:t>
      </w:r>
    </w:p>
    <w:p w:rsidR="00537FFD" w:rsidRDefault="00537FFD" w:rsidP="00DA41F4">
      <w:pPr>
        <w:pStyle w:val="ListParagraph"/>
        <w:numPr>
          <w:ilvl w:val="1"/>
          <w:numId w:val="1"/>
        </w:numPr>
      </w:pPr>
      <w:r>
        <w:t>When the import is finished, exit Builder.</w:t>
      </w:r>
    </w:p>
    <w:p w:rsidR="00537FFD" w:rsidRPr="00DA41F4" w:rsidRDefault="00537FFD" w:rsidP="00537FFD">
      <w:pPr>
        <w:pStyle w:val="ListParagraph"/>
        <w:numPr>
          <w:ilvl w:val="0"/>
          <w:numId w:val="1"/>
        </w:numPr>
        <w:rPr>
          <w:b/>
        </w:rPr>
      </w:pPr>
      <w:r w:rsidRPr="00DA41F4">
        <w:rPr>
          <w:b/>
        </w:rPr>
        <w:t xml:space="preserve">Launch “TLH </w:t>
      </w:r>
      <w:r w:rsidR="00B25A28">
        <w:rPr>
          <w:b/>
        </w:rPr>
        <w:t xml:space="preserve">Module Installer – Step </w:t>
      </w:r>
      <w:r w:rsidR="00B03D34">
        <w:rPr>
          <w:b/>
        </w:rPr>
        <w:t>3</w:t>
      </w:r>
      <w:r w:rsidRPr="00DA41F4">
        <w:rPr>
          <w:b/>
        </w:rPr>
        <w:t>”</w:t>
      </w:r>
    </w:p>
    <w:p w:rsidR="00537FFD" w:rsidRDefault="00537FFD" w:rsidP="00537FFD">
      <w:pPr>
        <w:pStyle w:val="ListParagraph"/>
        <w:numPr>
          <w:ilvl w:val="1"/>
          <w:numId w:val="1"/>
        </w:numPr>
      </w:pPr>
      <w:r>
        <w:t>Make sure Builder is closed before you do this.</w:t>
      </w:r>
      <w:r w:rsidR="00B25A28">
        <w:t xml:space="preserve"> (If you forget, just run Step</w:t>
      </w:r>
      <w:r w:rsidR="00F65DFC">
        <w:t xml:space="preserve"> 3 again.)</w:t>
      </w:r>
    </w:p>
    <w:p w:rsidR="00037469" w:rsidRDefault="00E75645" w:rsidP="00037469">
      <w:pPr>
        <w:pStyle w:val="ListParagraph"/>
        <w:numPr>
          <w:ilvl w:val="1"/>
          <w:numId w:val="1"/>
        </w:numPr>
      </w:pPr>
      <w:r>
        <w:t xml:space="preserve">This step only takes a few seconds. </w:t>
      </w:r>
      <w:r w:rsidR="00F65DFC">
        <w:t>If the readout on the black</w:t>
      </w:r>
      <w:r w:rsidR="00AC7B72">
        <w:t xml:space="preserve"> screen says something about 282</w:t>
      </w:r>
      <w:r w:rsidR="00F65DFC">
        <w:t xml:space="preserve"> records (hymns), then t</w:t>
      </w:r>
      <w:r w:rsidR="00037469">
        <w:t>he installation was successful!</w:t>
      </w:r>
    </w:p>
    <w:p w:rsidR="00537FFD" w:rsidRDefault="00537FFD" w:rsidP="00537FFD">
      <w:pPr>
        <w:pStyle w:val="Heading2"/>
      </w:pPr>
      <w:r>
        <w:t>Did it Work?</w:t>
      </w:r>
    </w:p>
    <w:p w:rsidR="00537FFD" w:rsidRDefault="002122CC" w:rsidP="00537FFD">
      <w:r>
        <w:t xml:space="preserve">When </w:t>
      </w:r>
      <w:r w:rsidR="00E75645">
        <w:t>Builder</w:t>
      </w:r>
      <w:r>
        <w:t xml:space="preserve"> </w:t>
      </w:r>
      <w:r w:rsidR="00EB57FF">
        <w:t xml:space="preserve">opens </w:t>
      </w:r>
      <w:r>
        <w:t xml:space="preserve">after completing the </w:t>
      </w:r>
      <w:r w:rsidR="001A10C0">
        <w:t>final</w:t>
      </w:r>
      <w:r>
        <w:t xml:space="preserve"> step, you </w:t>
      </w:r>
      <w:r w:rsidR="001A10C0">
        <w:t>will</w:t>
      </w:r>
      <w:r>
        <w:t xml:space="preserve"> find the TLH hymns in the hymn browser. </w:t>
      </w:r>
      <w:r w:rsidR="00537FFD">
        <w:t>They will be at the b</w:t>
      </w:r>
      <w:r w:rsidR="001A10C0">
        <w:t xml:space="preserve">ottom of the list – </w:t>
      </w:r>
      <w:r w:rsidR="00537FFD">
        <w:t xml:space="preserve">after the </w:t>
      </w:r>
      <w:r w:rsidR="00236E83">
        <w:t>last of the LSB hymns. The TLH hymns should look and behave exactly like the LSB hymns. You may choose between sheet musi</w:t>
      </w:r>
      <w:r w:rsidR="00C81953">
        <w:t xml:space="preserve">c or text, select stanzas, and preview </w:t>
      </w:r>
      <w:r w:rsidR="00236E83">
        <w:t xml:space="preserve">the melody. </w:t>
      </w:r>
      <w:r w:rsidR="001A10C0">
        <w:t xml:space="preserve">Hymns are searchable by topic, </w:t>
      </w:r>
      <w:r>
        <w:t xml:space="preserve">author, </w:t>
      </w:r>
      <w:r w:rsidR="00236E83">
        <w:t>Scripture verse, etc…</w:t>
      </w:r>
    </w:p>
    <w:p w:rsidR="00236E83" w:rsidRDefault="00236E83" w:rsidP="00236E83">
      <w:pPr>
        <w:jc w:val="center"/>
      </w:pPr>
      <w:r>
        <w:rPr>
          <w:noProof/>
        </w:rPr>
        <w:lastRenderedPageBreak/>
        <w:drawing>
          <wp:inline distT="0" distB="0" distL="0" distR="0">
            <wp:extent cx="5395961" cy="5115208"/>
            <wp:effectExtent l="19050" t="0" r="0" b="0"/>
            <wp:docPr id="3" name="Picture 2" descr="hym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mn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4941" cy="5123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0F65" w:rsidRDefault="00D50F65" w:rsidP="00D50F65">
      <w:pPr>
        <w:pStyle w:val="Heading2"/>
      </w:pPr>
      <w:r>
        <w:t>Are all the hymns in TLH</w:t>
      </w:r>
      <w:r w:rsidR="00CE6A60">
        <w:t xml:space="preserve"> Module</w:t>
      </w:r>
      <w:r>
        <w:t xml:space="preserve"> in the public domain?</w:t>
      </w:r>
    </w:p>
    <w:p w:rsidR="00CE6A60" w:rsidRPr="00CE6A60" w:rsidRDefault="00CE6A60" w:rsidP="00D50F65">
      <w:r>
        <w:t xml:space="preserve">Every hymn included in the TLH Module is in the public domain. However, there are 30 hymns that could not be included because they are still under copyright: </w:t>
      </w:r>
      <w:r w:rsidR="0080745E">
        <w:t>7, 42, 45, 78, 89, 150, 169, 211, 243, 253, 260, 266, 267, 299, 362, 408, 470, 479, 482, 498, 509, 510, 545, 560, 599, 603, 630, 639, 640, 655.</w:t>
      </w:r>
      <w:r>
        <w:t xml:space="preserve"> If you want to use these hymns you most get permission from CPH. Send an email to </w:t>
      </w:r>
      <w:hyperlink r:id="rId9" w:history="1">
        <w:r w:rsidRPr="0056551A">
          <w:rPr>
            <w:rStyle w:val="Hyperlink"/>
          </w:rPr>
          <w:t>copyrights@cph.org</w:t>
        </w:r>
      </w:hyperlink>
      <w:r>
        <w:t xml:space="preserve"> and explain that you would like to </w:t>
      </w:r>
      <w:r w:rsidR="00F37AFF">
        <w:t>print these hymns in your bulletin.</w:t>
      </w:r>
      <w:r>
        <w:t xml:space="preserve"> If your congregation already pays for the </w:t>
      </w:r>
      <w:hyperlink r:id="rId10" w:history="1">
        <w:r w:rsidRPr="00F37AFF">
          <w:rPr>
            <w:rStyle w:val="Hyperlink"/>
            <w:b/>
            <w:bCs/>
          </w:rPr>
          <w:t>LSBHymnLicense.NET</w:t>
        </w:r>
      </w:hyperlink>
      <w:r>
        <w:rPr>
          <w:rStyle w:val="Emphasis"/>
          <w:bCs/>
          <w:i w:val="0"/>
        </w:rPr>
        <w:t xml:space="preserve"> there </w:t>
      </w:r>
      <w:r w:rsidR="00037469">
        <w:rPr>
          <w:rStyle w:val="Emphasis"/>
          <w:bCs/>
          <w:i w:val="0"/>
        </w:rPr>
        <w:t>will</w:t>
      </w:r>
      <w:r>
        <w:rPr>
          <w:rStyle w:val="Emphasis"/>
          <w:bCs/>
          <w:i w:val="0"/>
        </w:rPr>
        <w:t xml:space="preserve"> be no extra charge</w:t>
      </w:r>
      <w:r w:rsidR="00F37AFF">
        <w:rPr>
          <w:rStyle w:val="Emphasis"/>
          <w:bCs/>
          <w:i w:val="0"/>
        </w:rPr>
        <w:t xml:space="preserve">. </w:t>
      </w:r>
      <w:r>
        <w:rPr>
          <w:rStyle w:val="Emphasis"/>
          <w:bCs/>
          <w:i w:val="0"/>
        </w:rPr>
        <w:t xml:space="preserve">Once permission is obtained, email me at </w:t>
      </w:r>
      <w:hyperlink r:id="rId11" w:history="1">
        <w:r w:rsidR="00037469" w:rsidRPr="00725C8E">
          <w:rPr>
            <w:rStyle w:val="Hyperlink"/>
            <w:bCs/>
          </w:rPr>
          <w:t>escamman@gmail.com</w:t>
        </w:r>
      </w:hyperlink>
      <w:r>
        <w:rPr>
          <w:rStyle w:val="Emphasis"/>
          <w:bCs/>
          <w:i w:val="0"/>
        </w:rPr>
        <w:t xml:space="preserve"> and I can provide these additional </w:t>
      </w:r>
      <w:r w:rsidR="00F37AFF">
        <w:rPr>
          <w:rStyle w:val="Emphasis"/>
          <w:bCs/>
          <w:i w:val="0"/>
        </w:rPr>
        <w:t xml:space="preserve">30 </w:t>
      </w:r>
      <w:r>
        <w:rPr>
          <w:rStyle w:val="Emphasis"/>
          <w:bCs/>
          <w:i w:val="0"/>
        </w:rPr>
        <w:t>hymns for your use.</w:t>
      </w:r>
    </w:p>
    <w:p w:rsidR="00CF3A3A" w:rsidRDefault="00CF3A3A" w:rsidP="002122CC">
      <w:pPr>
        <w:pStyle w:val="Heading2"/>
      </w:pPr>
      <w:r>
        <w:t xml:space="preserve">Why do some hymns not have a </w:t>
      </w:r>
      <w:r w:rsidR="00F75DA6">
        <w:t>t</w:t>
      </w:r>
      <w:r>
        <w:t>une?</w:t>
      </w:r>
    </w:p>
    <w:p w:rsidR="00CF3A3A" w:rsidRDefault="00CF3A3A" w:rsidP="00CF3A3A">
      <w:r>
        <w:t>There</w:t>
      </w:r>
      <w:r w:rsidR="00C81953">
        <w:t xml:space="preserve"> is</w:t>
      </w:r>
      <w:r>
        <w:t xml:space="preserve"> a bug in </w:t>
      </w:r>
      <w:r w:rsidR="00C81953">
        <w:t xml:space="preserve">Builder </w:t>
      </w:r>
      <w:r>
        <w:t xml:space="preserve">that </w:t>
      </w:r>
      <w:r w:rsidR="00C81953">
        <w:t>prevents me from adding new hymn tunes.</w:t>
      </w:r>
      <w:r>
        <w:t xml:space="preserve"> </w:t>
      </w:r>
      <w:r w:rsidR="00C81953">
        <w:t>Some of the hymns in</w:t>
      </w:r>
      <w:r w:rsidR="00E34871">
        <w:t xml:space="preserve"> TLH use the same tunes as LSB</w:t>
      </w:r>
      <w:r w:rsidR="00C81953">
        <w:t>.</w:t>
      </w:r>
      <w:r w:rsidR="00E34871">
        <w:t xml:space="preserve"> Once </w:t>
      </w:r>
      <w:r>
        <w:t>this bug gets fixed, I’ll be able to add hymn tunes for the remaining hymns.</w:t>
      </w:r>
    </w:p>
    <w:p w:rsidR="00B03D34" w:rsidRDefault="00125FF5" w:rsidP="00B03D34">
      <w:pPr>
        <w:pStyle w:val="Heading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r>
        <w:lastRenderedPageBreak/>
        <w:t>Why does my TLH hymn say “LSB” in the bulletin?</w:t>
      </w:r>
      <w:r>
        <w:br/>
      </w:r>
      <w:r w:rsidRPr="00125FF5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 xml:space="preserve">Unfortunately, every hymn – including the custom hymns in the TLH module – is initially listed </w:t>
      </w:r>
      <w:r w:rsidR="00F65EA6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 xml:space="preserve">in the bulletin </w:t>
      </w:r>
      <w:r w:rsidRPr="00125FF5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>as an LSB hymn.</w:t>
      </w:r>
      <w:r w:rsidR="00F65EA6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 xml:space="preserve"> </w:t>
      </w:r>
      <w:r w:rsidR="00B03D34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>I’ve spoken with Builder’s designer and hopefully this will be corrected in the future. Until then, you must manually edit the hymn’s subtitle.</w:t>
      </w:r>
    </w:p>
    <w:p w:rsidR="00B03D34" w:rsidRDefault="00B03D34" w:rsidP="00B03D34">
      <w:pPr>
        <w:pStyle w:val="Heading2"/>
        <w:jc w:val="center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r>
        <w:rPr>
          <w:noProof/>
        </w:rPr>
        <w:drawing>
          <wp:inline distT="0" distB="0" distL="0" distR="0">
            <wp:extent cx="4534843" cy="2517419"/>
            <wp:effectExtent l="19050" t="0" r="0" b="0"/>
            <wp:docPr id="1" name="Picture 0" descr="Shot_0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t_052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40345" cy="2520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3D34" w:rsidRPr="00B03D34" w:rsidRDefault="00B03D34" w:rsidP="00B03D34">
      <w:pPr>
        <w:spacing w:before="240"/>
      </w:pPr>
      <w:r>
        <w:t>Right-click on the hymn and choose “Edit Subcaption.” Delete the text “#pg#” and choose “OK.”</w:t>
      </w:r>
    </w:p>
    <w:p w:rsidR="00B03D34" w:rsidRDefault="00B03D34" w:rsidP="00B03D34">
      <w:pPr>
        <w:jc w:val="center"/>
      </w:pPr>
      <w:r>
        <w:rPr>
          <w:noProof/>
        </w:rPr>
        <w:drawing>
          <wp:inline distT="0" distB="0" distL="0" distR="0">
            <wp:extent cx="2262423" cy="1040715"/>
            <wp:effectExtent l="19050" t="0" r="4527" b="0"/>
            <wp:docPr id="4" name="Picture 3" descr="Shot_0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t_053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65348" cy="104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</w:rPr>
        <w:drawing>
          <wp:inline distT="0" distB="0" distL="0" distR="0">
            <wp:extent cx="2257425" cy="1038416"/>
            <wp:effectExtent l="19050" t="0" r="9525" b="0"/>
            <wp:docPr id="5" name="Picture 4" descr="Shot_0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t_055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038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0F65" w:rsidRDefault="002122CC" w:rsidP="002122CC">
      <w:pPr>
        <w:pStyle w:val="Heading2"/>
      </w:pPr>
      <w:r>
        <w:t>I found a typo. What should I do?</w:t>
      </w:r>
    </w:p>
    <w:p w:rsidR="007312FA" w:rsidRPr="00CF3A3A" w:rsidRDefault="002122CC" w:rsidP="00037469">
      <w:r>
        <w:t xml:space="preserve">There are bound to be some typos in a project of this size. Please email me at </w:t>
      </w:r>
      <w:hyperlink r:id="rId15" w:history="1">
        <w:r w:rsidR="00037469" w:rsidRPr="00725C8E">
          <w:rPr>
            <w:rStyle w:val="Hyperlink"/>
          </w:rPr>
          <w:t>escamman@gmail.com</w:t>
        </w:r>
      </w:hyperlink>
      <w:r w:rsidR="0080745E">
        <w:t>.</w:t>
      </w:r>
      <w:r w:rsidR="00037469">
        <w:t xml:space="preserve"> In fact, please email me with any questions about this project.</w:t>
      </w:r>
    </w:p>
    <w:sectPr w:rsidR="007312FA" w:rsidRPr="00CF3A3A" w:rsidSect="00723AE7"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BA3" w:rsidRDefault="00FF5BA3" w:rsidP="00B03D34">
      <w:pPr>
        <w:spacing w:after="0" w:line="240" w:lineRule="auto"/>
      </w:pPr>
      <w:r>
        <w:separator/>
      </w:r>
    </w:p>
  </w:endnote>
  <w:endnote w:type="continuationSeparator" w:id="1">
    <w:p w:rsidR="00FF5BA3" w:rsidRDefault="00FF5BA3" w:rsidP="00B03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775812"/>
      <w:docPartObj>
        <w:docPartGallery w:val="Page Numbers (Bottom of Page)"/>
        <w:docPartUnique/>
      </w:docPartObj>
    </w:sdtPr>
    <w:sdtContent>
      <w:p w:rsidR="00CE6A60" w:rsidRDefault="0055029A">
        <w:pPr>
          <w:pStyle w:val="Footer"/>
          <w:jc w:val="center"/>
        </w:pPr>
        <w:fldSimple w:instr=" PAGE   \* MERGEFORMAT ">
          <w:r w:rsidR="00037469">
            <w:rPr>
              <w:noProof/>
            </w:rPr>
            <w:t>1</w:t>
          </w:r>
        </w:fldSimple>
      </w:p>
    </w:sdtContent>
  </w:sdt>
  <w:p w:rsidR="00CE6A60" w:rsidRDefault="00CE6A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BA3" w:rsidRDefault="00FF5BA3" w:rsidP="00B03D34">
      <w:pPr>
        <w:spacing w:after="0" w:line="240" w:lineRule="auto"/>
      </w:pPr>
      <w:r>
        <w:separator/>
      </w:r>
    </w:p>
  </w:footnote>
  <w:footnote w:type="continuationSeparator" w:id="1">
    <w:p w:rsidR="00FF5BA3" w:rsidRDefault="00FF5BA3" w:rsidP="00B03D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F0A92"/>
    <w:multiLevelType w:val="hybridMultilevel"/>
    <w:tmpl w:val="602AA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D96943"/>
    <w:multiLevelType w:val="hybridMultilevel"/>
    <w:tmpl w:val="C6761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D0456"/>
    <w:rsid w:val="000359A1"/>
    <w:rsid w:val="00037469"/>
    <w:rsid w:val="00125FF5"/>
    <w:rsid w:val="00181F67"/>
    <w:rsid w:val="001872A4"/>
    <w:rsid w:val="001A10C0"/>
    <w:rsid w:val="001A6B55"/>
    <w:rsid w:val="001B4EAF"/>
    <w:rsid w:val="002122CC"/>
    <w:rsid w:val="00236E83"/>
    <w:rsid w:val="002E21F8"/>
    <w:rsid w:val="002F0BEB"/>
    <w:rsid w:val="003E22D5"/>
    <w:rsid w:val="00444472"/>
    <w:rsid w:val="004B2C4B"/>
    <w:rsid w:val="004C24EE"/>
    <w:rsid w:val="00537FFD"/>
    <w:rsid w:val="0055029A"/>
    <w:rsid w:val="005F3C1C"/>
    <w:rsid w:val="006C5967"/>
    <w:rsid w:val="00723AE7"/>
    <w:rsid w:val="007312FA"/>
    <w:rsid w:val="007817BD"/>
    <w:rsid w:val="0080745E"/>
    <w:rsid w:val="0083296F"/>
    <w:rsid w:val="008A68ED"/>
    <w:rsid w:val="00A8693A"/>
    <w:rsid w:val="00AC7B72"/>
    <w:rsid w:val="00AF5777"/>
    <w:rsid w:val="00B03D34"/>
    <w:rsid w:val="00B25A28"/>
    <w:rsid w:val="00B927E6"/>
    <w:rsid w:val="00BD0456"/>
    <w:rsid w:val="00C81953"/>
    <w:rsid w:val="00CE6A60"/>
    <w:rsid w:val="00CF3A3A"/>
    <w:rsid w:val="00D50F65"/>
    <w:rsid w:val="00DA41F4"/>
    <w:rsid w:val="00E30318"/>
    <w:rsid w:val="00E34871"/>
    <w:rsid w:val="00E75645"/>
    <w:rsid w:val="00EB57FF"/>
    <w:rsid w:val="00ED070A"/>
    <w:rsid w:val="00F37AFF"/>
    <w:rsid w:val="00F65DFC"/>
    <w:rsid w:val="00F65EA6"/>
    <w:rsid w:val="00F75DA6"/>
    <w:rsid w:val="00F8764C"/>
    <w:rsid w:val="00FF5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AE7"/>
  </w:style>
  <w:style w:type="paragraph" w:styleId="Heading1">
    <w:name w:val="heading 1"/>
    <w:basedOn w:val="Normal"/>
    <w:next w:val="Normal"/>
    <w:link w:val="Heading1Char"/>
    <w:uiPriority w:val="9"/>
    <w:qFormat/>
    <w:rsid w:val="00BD04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04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3A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4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D04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D04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D04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817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0F65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CF3A3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E3031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B03D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3D34"/>
  </w:style>
  <w:style w:type="paragraph" w:styleId="Footer">
    <w:name w:val="footer"/>
    <w:basedOn w:val="Normal"/>
    <w:link w:val="FooterChar"/>
    <w:uiPriority w:val="99"/>
    <w:unhideWhenUsed/>
    <w:rsid w:val="00B03D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D34"/>
  </w:style>
  <w:style w:type="character" w:styleId="Emphasis">
    <w:name w:val="Emphasis"/>
    <w:basedOn w:val="DefaultParagraphFont"/>
    <w:uiPriority w:val="20"/>
    <w:qFormat/>
    <w:rsid w:val="00CE6A6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scamman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scamman@gmail.com" TargetMode="External"/><Relationship Id="rId10" Type="http://schemas.openxmlformats.org/officeDocument/2006/relationships/hyperlink" Target="https://www.cph.org/t-copyrights-licenses.asp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pyrights@cph.org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D6C82-5867-4954-BB9F-779C22EAD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2017-09-17T03:11:00Z</cp:lastPrinted>
  <dcterms:created xsi:type="dcterms:W3CDTF">2017-09-17T01:43:00Z</dcterms:created>
  <dcterms:modified xsi:type="dcterms:W3CDTF">2018-07-17T21:48:00Z</dcterms:modified>
</cp:coreProperties>
</file>